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ABB2A" w14:textId="77777777" w:rsidR="002B5741" w:rsidRPr="0018405B" w:rsidRDefault="002B5741" w:rsidP="002B5741">
      <w:pPr>
        <w:autoSpaceDE w:val="0"/>
        <w:autoSpaceDN w:val="0"/>
        <w:adjustRightInd w:val="0"/>
        <w:spacing w:after="0" w:line="240" w:lineRule="auto"/>
        <w:rPr>
          <w:rFonts w:ascii="Georgia" w:hAnsi="Georgia" w:cs="HelveticaNeueLT Com 65 Md"/>
          <w:color w:val="00669A"/>
          <w:sz w:val="40"/>
          <w:szCs w:val="40"/>
        </w:rPr>
      </w:pPr>
      <w:bookmarkStart w:id="0" w:name="_GoBack"/>
      <w:bookmarkEnd w:id="0"/>
    </w:p>
    <w:p w14:paraId="39CB16F2" w14:textId="77777777" w:rsidR="002B5741" w:rsidRPr="00D03CC1" w:rsidRDefault="00D03CC1" w:rsidP="002B5741">
      <w:pPr>
        <w:pStyle w:val="Heading1"/>
        <w:jc w:val="center"/>
        <w:rPr>
          <w:rFonts w:cs="Calibri"/>
          <w:bCs w:val="0"/>
          <w:sz w:val="40"/>
          <w:szCs w:val="40"/>
          <w:lang w:val="es-ES"/>
        </w:rPr>
      </w:pPr>
      <w:r>
        <w:rPr>
          <w:b w:val="0"/>
          <w:bCs w:val="0"/>
          <w:noProof/>
        </w:rPr>
        <mc:AlternateContent>
          <mc:Choice Requires="wps">
            <w:drawing>
              <wp:anchor distT="0" distB="0" distL="114300" distR="114300" simplePos="0" relativeHeight="251658240" behindDoc="0" locked="0" layoutInCell="1" allowOverlap="1" wp14:anchorId="41CDB7B6" wp14:editId="0C0D999C">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 o:spid="_x0000_s1025" style="mso-height-percent:0;mso-height-relative:margin;mso-width-percent:0;mso-width-relative:margin;mso-wrap-distance-bottom:0;mso-wrap-distance-left:9pt;mso-wrap-distance-right:9pt;mso-wrap-distance-top:0;mso-wrap-style:square;position:absolute;visibility:visible;z-index:251659264" from="0,6.95pt" to="459.35pt,6.95pt" strokecolor="#005daa" strokeweight="0.5pt">
                <v:stroke joinstyle="miter"/>
              </v:line>
            </w:pict>
          </mc:Fallback>
        </mc:AlternateContent>
      </w:r>
      <w:r w:rsidRPr="00D03CC1">
        <w:rPr>
          <w:sz w:val="40"/>
          <w:szCs w:val="40"/>
          <w:lang w:val="es-ES"/>
        </w:rPr>
        <w:t>ROTARY Y LA POLIO</w:t>
      </w:r>
    </w:p>
    <w:p w14:paraId="3F3C0FD7" w14:textId="77777777" w:rsidR="002B5741" w:rsidRPr="00D03CC1" w:rsidRDefault="00D03CC1" w:rsidP="002B5741">
      <w:pPr>
        <w:autoSpaceDE w:val="0"/>
        <w:autoSpaceDN w:val="0"/>
        <w:adjustRightInd w:val="0"/>
        <w:spacing w:after="0" w:line="240" w:lineRule="auto"/>
        <w:jc w:val="center"/>
        <w:rPr>
          <w:rFonts w:ascii="Georgia" w:hAnsi="Georgia" w:cs="HelveticaNeueLT Com 65 Md"/>
          <w:color w:val="00669A"/>
          <w:sz w:val="21"/>
          <w:lang w:val="es-ES"/>
        </w:rPr>
      </w:pPr>
      <w:r w:rsidRPr="00D03CC1">
        <w:rPr>
          <w:rFonts w:ascii="Georgia" w:hAnsi="Georgia" w:cs="HelveticaNeueLT Com 65 Md"/>
          <w:b/>
          <w:bCs/>
          <w:sz w:val="32"/>
          <w:szCs w:val="40"/>
          <w:lang w:val="es-ES"/>
        </w:rPr>
        <w:t xml:space="preserve"> </w:t>
      </w:r>
    </w:p>
    <w:p w14:paraId="7E388158" w14:textId="77777777" w:rsidR="002B5741" w:rsidRPr="00D03CC1" w:rsidRDefault="00D03CC1" w:rsidP="002B5741">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Polio</w:t>
      </w:r>
    </w:p>
    <w:p w14:paraId="58C70FCB" w14:textId="77777777" w:rsidR="002B5741"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La poliomielitis (polio), enfermedad que ocasiona parálisis e incluso la muerte, aún constituye una amenaza para los niños de ciertas regiones del mundo. El poliovirus ataca el sistema nervioso, pudiendo ocasionar parálisis total en cuestión de horas. Aunque el virus puede afectar a personas de cualquier edad, sus principales víctimas son los niños menores de cinco años. La polio es incurable, pero puede prevenirse mediante la vacunación. A diferencia de la mayoría de las enfermedades, la polio puede ser erradicada.</w:t>
      </w:r>
    </w:p>
    <w:p w14:paraId="67B5BE47" w14:textId="77777777" w:rsidR="002B5741" w:rsidRPr="00D03CC1" w:rsidRDefault="002B5741" w:rsidP="009D75AD">
      <w:pPr>
        <w:autoSpaceDE w:val="0"/>
        <w:autoSpaceDN w:val="0"/>
        <w:adjustRightInd w:val="0"/>
        <w:spacing w:after="0"/>
        <w:rPr>
          <w:rFonts w:ascii="Georgia" w:hAnsi="Georgia" w:cs="HelveticaNeueLT Com 55 Roman"/>
          <w:color w:val="000000"/>
          <w:sz w:val="24"/>
          <w:szCs w:val="24"/>
          <w:lang w:val="es-ES"/>
        </w:rPr>
      </w:pPr>
    </w:p>
    <w:p w14:paraId="42519A56" w14:textId="77777777" w:rsidR="002B5741" w:rsidRPr="00D03CC1" w:rsidRDefault="002B5741" w:rsidP="009D75AD">
      <w:pPr>
        <w:autoSpaceDE w:val="0"/>
        <w:autoSpaceDN w:val="0"/>
        <w:adjustRightInd w:val="0"/>
        <w:spacing w:after="0"/>
        <w:rPr>
          <w:rFonts w:ascii="Georgia" w:hAnsi="Georgia" w:cs="HelveticaNeueLT Com 65 Md"/>
          <w:color w:val="00669A"/>
          <w:sz w:val="24"/>
          <w:szCs w:val="24"/>
          <w:lang w:val="es-ES"/>
        </w:rPr>
      </w:pPr>
    </w:p>
    <w:p w14:paraId="4F9AA856"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PolioPlus</w:t>
      </w:r>
    </w:p>
    <w:p w14:paraId="7B38D5F0" w14:textId="77777777" w:rsidR="00A83570"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 xml:space="preserve">Desde hace más de 30 años, Rotary y sus aliados dedican sus esfuerzos a erradicar la polio en todo el mundo. Nuestro programa </w:t>
      </w:r>
      <w:hyperlink r:id="rId7" w:history="1">
        <w:r w:rsidRPr="00D03CC1">
          <w:rPr>
            <w:rStyle w:val="Hyperlink"/>
            <w:rFonts w:ascii="Georgia" w:hAnsi="Georgia" w:cs="HelveticaNeueLT Com 55 Roman"/>
            <w:sz w:val="24"/>
            <w:szCs w:val="24"/>
            <w:lang w:val="es-ES"/>
          </w:rPr>
          <w:t>PolioPlus</w:t>
        </w:r>
      </w:hyperlink>
      <w:r w:rsidRPr="00D03CC1">
        <w:rPr>
          <w:rFonts w:ascii="Georgia" w:hAnsi="Georgia" w:cs="HelveticaNeueLT Com 55 Roman"/>
          <w:color w:val="000000"/>
          <w:sz w:val="24"/>
          <w:szCs w:val="24"/>
          <w:lang w:val="es-ES"/>
        </w:rPr>
        <w:t xml:space="preserve"> fue la primera iniciativa para la erradicación de la polio mediante campañas masivas de vacunación. Como participante principal en la </w:t>
      </w:r>
      <w:hyperlink r:id="rId8" w:history="1">
        <w:r w:rsidRPr="00D03CC1">
          <w:rPr>
            <w:rStyle w:val="Hyperlink"/>
            <w:rFonts w:ascii="Georgia" w:hAnsi="Georgia" w:cs="HelveticaNeueLT Com 55 Roman"/>
            <w:sz w:val="24"/>
            <w:szCs w:val="24"/>
            <w:lang w:val="es-ES"/>
          </w:rPr>
          <w:t>Iniciativa Mundial para la Erradicación de la Polio</w:t>
        </w:r>
      </w:hyperlink>
      <w:r w:rsidRPr="00D03CC1">
        <w:rPr>
          <w:rFonts w:ascii="Georgia" w:hAnsi="Georgia" w:cs="HelveticaNeueLT Com 55 Roman"/>
          <w:color w:val="000000"/>
          <w:sz w:val="24"/>
          <w:szCs w:val="24"/>
          <w:lang w:val="es-ES"/>
        </w:rPr>
        <w:t xml:space="preserve"> (GPEI por sus siglas en inglés), Rotary enfoca su labor en la incidencia política, la recaudación de fondos, el reclutamiento de voluntarios y la concienciación del público.</w:t>
      </w:r>
    </w:p>
    <w:p w14:paraId="4E744B34" w14:textId="77777777" w:rsidR="00A83570" w:rsidRPr="00D03CC1" w:rsidRDefault="00A83570" w:rsidP="009D75AD">
      <w:pPr>
        <w:autoSpaceDE w:val="0"/>
        <w:autoSpaceDN w:val="0"/>
        <w:adjustRightInd w:val="0"/>
        <w:spacing w:after="0"/>
        <w:rPr>
          <w:rFonts w:ascii="Georgia" w:hAnsi="Georgia" w:cs="HelveticaNeueLT Com 55 Roman"/>
          <w:color w:val="000000"/>
          <w:sz w:val="24"/>
          <w:szCs w:val="24"/>
          <w:lang w:val="es-ES"/>
        </w:rPr>
      </w:pPr>
    </w:p>
    <w:p w14:paraId="5E75DCD6" w14:textId="77777777" w:rsidR="00A83570"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 xml:space="preserve">Los rotarios han contribuido más de USD 2200 millones y un sinfín de horas de trabajo voluntario para proteger a casi 3000 millones de niños en 122 países contra esta enfermedad paralizante. Las campañas de promoción de Rotary han desempeñado un papel fundamental en las decisiones de los gobiernos del mundo de contribuir más de USD 10000 millones a esta causa. </w:t>
      </w:r>
    </w:p>
    <w:p w14:paraId="6AA5DA80" w14:textId="77777777" w:rsidR="002B5741" w:rsidRPr="00D03CC1" w:rsidRDefault="002B5741" w:rsidP="009D75AD">
      <w:pPr>
        <w:autoSpaceDE w:val="0"/>
        <w:autoSpaceDN w:val="0"/>
        <w:adjustRightInd w:val="0"/>
        <w:spacing w:after="0"/>
        <w:rPr>
          <w:rFonts w:ascii="Georgia" w:hAnsi="Georgia" w:cs="HelveticaNeueLT Com 55 Roman"/>
          <w:color w:val="000000"/>
          <w:sz w:val="24"/>
          <w:szCs w:val="24"/>
          <w:lang w:val="es-ES"/>
        </w:rPr>
      </w:pPr>
    </w:p>
    <w:p w14:paraId="77BC5BC1" w14:textId="77777777" w:rsidR="002B5741" w:rsidRPr="00D03CC1" w:rsidRDefault="002B5741" w:rsidP="009D75AD">
      <w:pPr>
        <w:autoSpaceDE w:val="0"/>
        <w:autoSpaceDN w:val="0"/>
        <w:adjustRightInd w:val="0"/>
        <w:spacing w:after="0"/>
        <w:rPr>
          <w:rFonts w:ascii="Georgia" w:hAnsi="Georgia" w:cs="HelveticaNeueLT Com 65 Md"/>
          <w:color w:val="00669A"/>
          <w:sz w:val="24"/>
          <w:szCs w:val="24"/>
          <w:lang w:val="es-ES"/>
        </w:rPr>
      </w:pPr>
    </w:p>
    <w:p w14:paraId="1018F39A"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Estado actual de la polio</w:t>
      </w:r>
    </w:p>
    <w:p w14:paraId="2846116C" w14:textId="4055DED3" w:rsidR="00A83570" w:rsidRPr="00D03CC1" w:rsidRDefault="00D03CC1" w:rsidP="009D75AD">
      <w:pPr>
        <w:autoSpaceDE w:val="0"/>
        <w:autoSpaceDN w:val="0"/>
        <w:adjustRightInd w:val="0"/>
        <w:spacing w:after="0"/>
        <w:rPr>
          <w:rFonts w:ascii="Georgia" w:hAnsi="Georgia"/>
          <w:color w:val="000000"/>
          <w:sz w:val="24"/>
          <w:szCs w:val="24"/>
          <w:lang w:val="es-ES"/>
        </w:rPr>
      </w:pPr>
      <w:r w:rsidRPr="00D03CC1">
        <w:rPr>
          <w:rFonts w:ascii="Georgia" w:hAnsi="Georgia"/>
          <w:color w:val="000000" w:themeColor="text1"/>
          <w:sz w:val="24"/>
          <w:szCs w:val="28"/>
          <w:lang w:val="es-ES"/>
        </w:rPr>
        <w:t xml:space="preserve">Cuando Rotary y sus aliados establecieron la GPEI en 1988, cada año se registraban 350 000 casos de polio en 125 países. </w:t>
      </w:r>
      <w:r w:rsidRPr="00D03CC1">
        <w:rPr>
          <w:rFonts w:ascii="Georgia" w:hAnsi="Georgia"/>
          <w:color w:val="000000"/>
          <w:sz w:val="24"/>
          <w:szCs w:val="28"/>
          <w:lang w:val="es-ES"/>
        </w:rPr>
        <w:t>Hoy, hemos logrado reducir los casos de polio en un 99,9 % y solo dos países continúan registrando casos de poliovirus salvaje: Afganistán y Pakistán. Hoy, gracias a los esfuerzos de Rotary y sus aliados, casi 19,4 millones de personas caminan, quienes de otro modo habrían quedado paralizadas por la polio, y 1,5 millones más viven, quienes de otro modo hubieran perecido a causa de esta enfermedad. </w:t>
      </w:r>
      <w:r w:rsidRPr="00D03CC1">
        <w:rPr>
          <w:rFonts w:ascii="Georgia" w:hAnsi="Georgia"/>
          <w:color w:val="000000"/>
          <w:sz w:val="24"/>
          <w:szCs w:val="24"/>
          <w:lang w:val="es-ES"/>
        </w:rPr>
        <w:t xml:space="preserve">La infraestructura que ayudamos a construir para erradicar la polio está siendo utilizada para tratar y prevenir otras enfermedades </w:t>
      </w:r>
      <w:r w:rsidRPr="00D03CC1">
        <w:rPr>
          <w:rFonts w:ascii="Georgia" w:hAnsi="Georgia"/>
          <w:color w:val="000000"/>
          <w:sz w:val="24"/>
          <w:szCs w:val="28"/>
          <w:lang w:val="es-ES"/>
        </w:rPr>
        <w:t>(incluida la COVID-19)</w:t>
      </w:r>
      <w:r w:rsidRPr="00D03CC1">
        <w:rPr>
          <w:rFonts w:ascii="Georgia" w:hAnsi="Georgia"/>
          <w:color w:val="000000"/>
          <w:sz w:val="24"/>
          <w:szCs w:val="24"/>
          <w:lang w:val="es-ES"/>
        </w:rPr>
        <w:t xml:space="preserve"> y crear un impacto duradero en otras áreas de la salud pública. </w:t>
      </w:r>
    </w:p>
    <w:p w14:paraId="3952185A" w14:textId="77777777" w:rsidR="00D03CC1" w:rsidRPr="00D03CC1" w:rsidRDefault="00D03CC1" w:rsidP="009D75AD">
      <w:pPr>
        <w:autoSpaceDE w:val="0"/>
        <w:autoSpaceDN w:val="0"/>
        <w:adjustRightInd w:val="0"/>
        <w:spacing w:after="0"/>
        <w:rPr>
          <w:rFonts w:ascii="Georgia" w:hAnsi="Georgia" w:cs="HelveticaNeueLT Com 55 Roman"/>
          <w:color w:val="000000"/>
          <w:sz w:val="24"/>
          <w:szCs w:val="24"/>
          <w:lang w:val="es-ES"/>
        </w:rPr>
      </w:pPr>
    </w:p>
    <w:p w14:paraId="231711BC" w14:textId="77777777" w:rsidR="00A83570" w:rsidRPr="00D03CC1" w:rsidRDefault="00A83570" w:rsidP="009D75AD">
      <w:pPr>
        <w:autoSpaceDE w:val="0"/>
        <w:autoSpaceDN w:val="0"/>
        <w:adjustRightInd w:val="0"/>
        <w:spacing w:after="0"/>
        <w:rPr>
          <w:rFonts w:ascii="Georgia" w:hAnsi="Georgia" w:cs="HelveticaNeueLT Com 55 Roman,It"/>
          <w:i/>
          <w:iCs/>
          <w:color w:val="000000"/>
          <w:sz w:val="24"/>
          <w:szCs w:val="24"/>
          <w:lang w:val="es-ES"/>
        </w:rPr>
      </w:pPr>
    </w:p>
    <w:p w14:paraId="4710274C" w14:textId="77777777" w:rsidR="002B5741" w:rsidRPr="00D03CC1" w:rsidRDefault="002B5741" w:rsidP="009D75AD">
      <w:pPr>
        <w:autoSpaceDE w:val="0"/>
        <w:autoSpaceDN w:val="0"/>
        <w:adjustRightInd w:val="0"/>
        <w:spacing w:after="0"/>
        <w:rPr>
          <w:rFonts w:ascii="Georgia" w:hAnsi="Georgia" w:cs="HelveticaNeueLT Com 65 Md"/>
          <w:b/>
          <w:color w:val="000000" w:themeColor="text1"/>
          <w:sz w:val="16"/>
          <w:szCs w:val="16"/>
          <w:lang w:val="es-ES"/>
        </w:rPr>
      </w:pPr>
    </w:p>
    <w:p w14:paraId="51C06BD2"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Desafíos</w:t>
      </w:r>
    </w:p>
    <w:p w14:paraId="5DF52FA1" w14:textId="77777777" w:rsidR="002B5741"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 xml:space="preserve">Rotary y sus aliados han logrado un tremendo progreso contra la polio; sin embargo, eliminar todos los casos de esta enfermedad requerirá perseverancia. Afganistán y Pakistán enfrentan desafíos únicos, incluida la inseguridad política, el alto porcentaje de población migratoria, el terreno difícil y, en algunas ocasiones, rechazo a la vacuna y desinformación. Con recursos suficientes, el compromiso de los gobiernos e innovaciones que mejoran el acceso a las áreas remotas, somos optimistas y creemos que podremos eliminar la polio. </w:t>
      </w:r>
    </w:p>
    <w:p w14:paraId="22311340" w14:textId="77777777" w:rsidR="002B5741" w:rsidRPr="00D03CC1" w:rsidRDefault="002B5741" w:rsidP="009D75AD">
      <w:pPr>
        <w:autoSpaceDE w:val="0"/>
        <w:autoSpaceDN w:val="0"/>
        <w:adjustRightInd w:val="0"/>
        <w:spacing w:after="0"/>
        <w:rPr>
          <w:rFonts w:ascii="Georgia" w:hAnsi="Georgia" w:cs="HelveticaNeueLT Com 65 Md"/>
          <w:color w:val="00669A"/>
          <w:sz w:val="16"/>
          <w:szCs w:val="16"/>
          <w:lang w:val="es-ES"/>
        </w:rPr>
      </w:pPr>
    </w:p>
    <w:p w14:paraId="4FBC36F8" w14:textId="77777777" w:rsidR="00A83570" w:rsidRPr="00D03CC1" w:rsidRDefault="00A83570" w:rsidP="009D75AD">
      <w:pPr>
        <w:autoSpaceDE w:val="0"/>
        <w:autoSpaceDN w:val="0"/>
        <w:adjustRightInd w:val="0"/>
        <w:spacing w:after="0"/>
        <w:rPr>
          <w:rFonts w:ascii="Georgia" w:hAnsi="Georgia" w:cs="HelveticaNeueLT Com 65 Md"/>
          <w:color w:val="00669A"/>
          <w:sz w:val="16"/>
          <w:szCs w:val="16"/>
          <w:lang w:val="es-ES"/>
        </w:rPr>
      </w:pPr>
    </w:p>
    <w:p w14:paraId="0295B532"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Garantizar el éxito</w:t>
      </w:r>
    </w:p>
    <w:p w14:paraId="4454DE42" w14:textId="77777777" w:rsidR="002B5741"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lastRenderedPageBreak/>
        <w:t xml:space="preserve">Rotary se ha comprometido a recaudar 50 millones de dólares al año para la erradicación de la polio. La </w:t>
      </w:r>
      <w:hyperlink r:id="rId9" w:history="1">
        <w:r w:rsidRPr="00D03CC1">
          <w:rPr>
            <w:rStyle w:val="Hyperlink"/>
            <w:rFonts w:ascii="Georgia" w:hAnsi="Georgia" w:cs="HelveticaNeueLT Com 55 Roman"/>
            <w:sz w:val="24"/>
            <w:szCs w:val="24"/>
            <w:lang w:val="es-ES"/>
          </w:rPr>
          <w:t>Fundación Bill y Melinda Gates</w:t>
        </w:r>
      </w:hyperlink>
      <w:r w:rsidRPr="00D03CC1">
        <w:rPr>
          <w:rFonts w:ascii="Georgia" w:hAnsi="Georgia" w:cs="HelveticaNeueLT Com 55 Roman"/>
          <w:color w:val="000000"/>
          <w:sz w:val="24"/>
          <w:szCs w:val="24"/>
          <w:lang w:val="es-ES"/>
        </w:rPr>
        <w:t xml:space="preserve"> se ha comprometido a aportar dos dólares por cada dólar contribuido por Rotary a esta causa hasta USD 150 millones al año. Estos fondos proporcionan apoyo operacional, trabajadores sanitarios, equipos de laboratorio y materiales educativos. Los gobiernos, organizaciones y donantes privados desempeñan un papel muy importante en el financiamiento.</w:t>
      </w:r>
    </w:p>
    <w:p w14:paraId="06DF726F" w14:textId="77777777" w:rsidR="002B5741" w:rsidRPr="00D03CC1" w:rsidRDefault="002B5741" w:rsidP="009D75AD">
      <w:pPr>
        <w:autoSpaceDE w:val="0"/>
        <w:autoSpaceDN w:val="0"/>
        <w:adjustRightInd w:val="0"/>
        <w:spacing w:after="0"/>
        <w:rPr>
          <w:rFonts w:ascii="Georgia" w:hAnsi="Georgia" w:cs="HelveticaNeueLT Com 65 Md"/>
          <w:b/>
          <w:color w:val="000000" w:themeColor="text1"/>
          <w:sz w:val="24"/>
          <w:szCs w:val="24"/>
          <w:lang w:val="es-ES"/>
        </w:rPr>
      </w:pPr>
    </w:p>
    <w:p w14:paraId="4535B862" w14:textId="77777777" w:rsidR="00A83570" w:rsidRPr="00D03CC1" w:rsidRDefault="00A83570" w:rsidP="009D75AD">
      <w:pPr>
        <w:autoSpaceDE w:val="0"/>
        <w:autoSpaceDN w:val="0"/>
        <w:adjustRightInd w:val="0"/>
        <w:spacing w:after="0"/>
        <w:rPr>
          <w:rFonts w:ascii="Georgia" w:hAnsi="Georgia" w:cs="HelveticaNeueLT Com 65 Md"/>
          <w:b/>
          <w:color w:val="000000" w:themeColor="text1"/>
          <w:sz w:val="24"/>
          <w:szCs w:val="24"/>
          <w:lang w:val="es-ES"/>
        </w:rPr>
      </w:pPr>
    </w:p>
    <w:p w14:paraId="38EF59F3"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 xml:space="preserve">Rotary en acción </w:t>
      </w:r>
    </w:p>
    <w:p w14:paraId="515A8AA8" w14:textId="77777777" w:rsidR="002B5741"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 xml:space="preserve">Más de un millón de rotarios han donado su tiempo y dinero para erradicar la polio, y año tras año, cientos de rotarios colaboran con trabajadores sanitarios para vacunar a niños en los países afectados por este flagelo. Los rotarios colaboran con </w:t>
      </w:r>
      <w:hyperlink r:id="rId10" w:history="1">
        <w:r w:rsidRPr="00D03CC1">
          <w:rPr>
            <w:rStyle w:val="Hyperlink"/>
            <w:rFonts w:ascii="Georgia" w:hAnsi="Georgia" w:cs="HelveticaNeueLT Com 55 Roman"/>
            <w:sz w:val="24"/>
            <w:szCs w:val="24"/>
            <w:lang w:val="es-ES"/>
          </w:rPr>
          <w:t>UNICEF</w:t>
        </w:r>
      </w:hyperlink>
      <w:r w:rsidRPr="00D03CC1">
        <w:rPr>
          <w:rFonts w:ascii="Georgia" w:hAnsi="Georgia" w:cs="HelveticaNeueLT Com 55 Roman"/>
          <w:color w:val="000000"/>
          <w:sz w:val="24"/>
          <w:szCs w:val="24"/>
          <w:lang w:val="es-ES"/>
        </w:rPr>
        <w:t xml:space="preserve"> y otras entidades colaboradoras en la preparación y distribución de material informativo dirigido a los habitantes de áreas aisladas por el conflicto, la geografía o la pobreza. Ellos también se movilizan para reclutar voluntarios, colaborar en el transporte de las vacunas y proporcionar apoyo logístico.</w:t>
      </w:r>
    </w:p>
    <w:p w14:paraId="19861E88" w14:textId="77777777" w:rsidR="002B5741" w:rsidRPr="00D03CC1" w:rsidRDefault="002B5741" w:rsidP="009D75AD">
      <w:pPr>
        <w:autoSpaceDE w:val="0"/>
        <w:autoSpaceDN w:val="0"/>
        <w:adjustRightInd w:val="0"/>
        <w:spacing w:after="0"/>
        <w:rPr>
          <w:rFonts w:ascii="Georgia" w:hAnsi="Georgia" w:cs="HelveticaNeueLT Com 65 Md"/>
          <w:color w:val="00669A"/>
          <w:sz w:val="24"/>
          <w:szCs w:val="24"/>
          <w:lang w:val="es-ES"/>
        </w:rPr>
      </w:pPr>
    </w:p>
    <w:p w14:paraId="494E1688" w14:textId="77777777" w:rsidR="00A83570" w:rsidRPr="00D03CC1" w:rsidRDefault="00A83570" w:rsidP="009D75AD">
      <w:pPr>
        <w:autoSpaceDE w:val="0"/>
        <w:autoSpaceDN w:val="0"/>
        <w:adjustRightInd w:val="0"/>
        <w:spacing w:after="0"/>
        <w:rPr>
          <w:rFonts w:ascii="Georgia" w:hAnsi="Georgia" w:cs="HelveticaNeueLT Com 65 Md"/>
          <w:color w:val="00669A"/>
          <w:sz w:val="24"/>
          <w:szCs w:val="24"/>
          <w:lang w:val="es-ES"/>
        </w:rPr>
      </w:pPr>
    </w:p>
    <w:p w14:paraId="53C3320D" w14:textId="77777777" w:rsidR="002B5741" w:rsidRPr="00D03CC1" w:rsidRDefault="00D03CC1" w:rsidP="009D75AD">
      <w:pPr>
        <w:autoSpaceDE w:val="0"/>
        <w:autoSpaceDN w:val="0"/>
        <w:adjustRightInd w:val="0"/>
        <w:spacing w:after="0"/>
        <w:rPr>
          <w:rFonts w:ascii="Georgia" w:hAnsi="Georgia" w:cs="HelveticaNeueLT Com 65 Md"/>
          <w:b/>
          <w:color w:val="000000" w:themeColor="text1"/>
          <w:sz w:val="24"/>
          <w:szCs w:val="24"/>
          <w:lang w:val="es-ES"/>
        </w:rPr>
      </w:pPr>
      <w:r w:rsidRPr="00D03CC1">
        <w:rPr>
          <w:rFonts w:ascii="Georgia" w:hAnsi="Georgia" w:cs="HelveticaNeueLT Com 65 Md"/>
          <w:b/>
          <w:bCs/>
          <w:color w:val="000000" w:themeColor="text1"/>
          <w:sz w:val="24"/>
          <w:szCs w:val="24"/>
          <w:lang w:val="es-ES"/>
        </w:rPr>
        <w:t xml:space="preserve">Apoyo de personalidades </w:t>
      </w:r>
    </w:p>
    <w:p w14:paraId="026403FA" w14:textId="77777777" w:rsidR="002B5741" w:rsidRPr="00D03CC1" w:rsidRDefault="00D03CC1" w:rsidP="009D75AD">
      <w:pPr>
        <w:autoSpaceDE w:val="0"/>
        <w:autoSpaceDN w:val="0"/>
        <w:adjustRightInd w:val="0"/>
        <w:spacing w:after="0"/>
        <w:rPr>
          <w:rFonts w:ascii="Georgia" w:hAnsi="Georgia" w:cs="HelveticaNeueLT Com 55 Roman"/>
          <w:color w:val="000000"/>
          <w:sz w:val="24"/>
          <w:szCs w:val="24"/>
          <w:lang w:val="es-ES"/>
        </w:rPr>
      </w:pPr>
      <w:r w:rsidRPr="00D03CC1">
        <w:rPr>
          <w:rFonts w:ascii="Georgia" w:hAnsi="Georgia" w:cs="HelveticaNeueLT Com 55 Roman"/>
          <w:color w:val="000000"/>
          <w:sz w:val="24"/>
          <w:szCs w:val="24"/>
          <w:lang w:val="es-ES"/>
        </w:rPr>
        <w:t>Rotary cuenta con una creciente lista de figuras públicas y celebridades que apoyan nuestra lucha contra la polio, entre los que se incluyen Bill Gates, copresidente de la Fundación Bill y Melinda Gates; las actrices Kristen Bell y Archie Punjabi; la estrella de la WWE John Cena; la supermodelo Isabeli Fontana; el arzobispo emérito y Premio Nobel de la Paz Desmond Tutu; el actor Jackie Chan; el actor Donald Sutherland; el boxeador Many Pacquiao; el cantante Psy; la leyenda del golf Jack Nicklaus; la ecologista Jane Goodall; el vio</w:t>
      </w:r>
      <w:r w:rsidRPr="00D03CC1">
        <w:rPr>
          <w:rFonts w:ascii="Georgia" w:hAnsi="Georgia" w:cs="HelveticaNeueLT Com 55 Roman"/>
          <w:color w:val="000000"/>
          <w:sz w:val="24"/>
          <w:szCs w:val="24"/>
          <w:lang w:val="es-ES"/>
        </w:rPr>
        <w:lastRenderedPageBreak/>
        <w:t xml:space="preserve">linista Itzhak Perlman; los músicos ganadores del Grammy A.R. Rahman, Angelique Kidjo y Ziggy Marley; y la reina Noor de Jordania. Estos embajadores ayudan a informar al público sobre esta enfermedad y la lucha emprendida para poner fin a la polio de una vez por todas.  </w:t>
      </w:r>
    </w:p>
    <w:p w14:paraId="51F94CD6" w14:textId="77777777" w:rsidR="002B5741" w:rsidRPr="00D03CC1" w:rsidRDefault="002B5741" w:rsidP="009D75AD">
      <w:pPr>
        <w:autoSpaceDE w:val="0"/>
        <w:autoSpaceDN w:val="0"/>
        <w:adjustRightInd w:val="0"/>
        <w:spacing w:after="0"/>
        <w:rPr>
          <w:rFonts w:ascii="Georgia" w:hAnsi="Georgia" w:cs="HelveticaNeueLT Com 65 Md"/>
          <w:color w:val="00669A"/>
          <w:sz w:val="24"/>
          <w:szCs w:val="24"/>
          <w:lang w:val="es-ES"/>
        </w:rPr>
      </w:pPr>
    </w:p>
    <w:p w14:paraId="64057E5E" w14:textId="77777777" w:rsidR="002C1844" w:rsidRPr="00D03CC1" w:rsidRDefault="002C1844" w:rsidP="009D2D67">
      <w:pPr>
        <w:rPr>
          <w:lang w:val="es-ES"/>
        </w:rPr>
      </w:pPr>
    </w:p>
    <w:sectPr w:rsidR="002C1844" w:rsidRPr="00D03CC1" w:rsidSect="001840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4D96" w14:textId="77777777" w:rsidR="008A0985" w:rsidRDefault="00D03CC1">
      <w:pPr>
        <w:spacing w:after="0" w:line="240" w:lineRule="auto"/>
      </w:pPr>
      <w:r>
        <w:separator/>
      </w:r>
    </w:p>
  </w:endnote>
  <w:endnote w:type="continuationSeparator" w:id="0">
    <w:p w14:paraId="762D9530" w14:textId="77777777" w:rsidR="008A0985" w:rsidRDefault="00D0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Com 65 Md">
    <w:panose1 w:val="00000000000000000000"/>
    <w:charset w:val="00"/>
    <w:family w:val="swiss"/>
    <w:notTrueType/>
    <w:pitch w:val="default"/>
    <w:sig w:usb0="00000003" w:usb1="00000000" w:usb2="00000000" w:usb3="00000000" w:csb0="00000001"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55 Roman,It">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ABD02" w14:textId="77777777" w:rsidR="008A0985" w:rsidRDefault="00D03CC1">
      <w:pPr>
        <w:spacing w:after="0" w:line="240" w:lineRule="auto"/>
      </w:pPr>
      <w:r>
        <w:separator/>
      </w:r>
    </w:p>
  </w:footnote>
  <w:footnote w:type="continuationSeparator" w:id="0">
    <w:p w14:paraId="2C1206BD" w14:textId="77777777" w:rsidR="008A0985" w:rsidRDefault="00D03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BF3C" w14:textId="77777777" w:rsidR="00AC0EC7" w:rsidRDefault="00D03CC1">
    <w:pPr>
      <w:pStyle w:val="Header"/>
    </w:pPr>
    <w:r>
      <w:rPr>
        <w:noProof/>
        <w:sz w:val="15"/>
        <w:szCs w:val="15"/>
        <w:lang w:eastAsia="en-US"/>
      </w:rPr>
      <w:drawing>
        <wp:inline distT="0" distB="0" distL="0" distR="0" wp14:anchorId="4ED0A4B1" wp14:editId="354AF08B">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51444"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2D9E7B16">
      <w:start w:val="1"/>
      <w:numFmt w:val="decimal"/>
      <w:lvlText w:val="%1)"/>
      <w:lvlJc w:val="left"/>
      <w:pPr>
        <w:ind w:left="720" w:hanging="360"/>
      </w:pPr>
      <w:rPr>
        <w:rFonts w:hint="default"/>
      </w:rPr>
    </w:lvl>
    <w:lvl w:ilvl="1" w:tplc="5B3433D2" w:tentative="1">
      <w:start w:val="1"/>
      <w:numFmt w:val="lowerLetter"/>
      <w:lvlText w:val="%2."/>
      <w:lvlJc w:val="left"/>
      <w:pPr>
        <w:ind w:left="1440" w:hanging="360"/>
      </w:pPr>
    </w:lvl>
    <w:lvl w:ilvl="2" w:tplc="87401A16" w:tentative="1">
      <w:start w:val="1"/>
      <w:numFmt w:val="lowerRoman"/>
      <w:lvlText w:val="%3."/>
      <w:lvlJc w:val="right"/>
      <w:pPr>
        <w:ind w:left="2160" w:hanging="180"/>
      </w:pPr>
    </w:lvl>
    <w:lvl w:ilvl="3" w:tplc="0996372A" w:tentative="1">
      <w:start w:val="1"/>
      <w:numFmt w:val="decimal"/>
      <w:lvlText w:val="%4."/>
      <w:lvlJc w:val="left"/>
      <w:pPr>
        <w:ind w:left="2880" w:hanging="360"/>
      </w:pPr>
    </w:lvl>
    <w:lvl w:ilvl="4" w:tplc="B9B4ADB0" w:tentative="1">
      <w:start w:val="1"/>
      <w:numFmt w:val="lowerLetter"/>
      <w:lvlText w:val="%5."/>
      <w:lvlJc w:val="left"/>
      <w:pPr>
        <w:ind w:left="3600" w:hanging="360"/>
      </w:pPr>
    </w:lvl>
    <w:lvl w:ilvl="5" w:tplc="C194FFE4" w:tentative="1">
      <w:start w:val="1"/>
      <w:numFmt w:val="lowerRoman"/>
      <w:lvlText w:val="%6."/>
      <w:lvlJc w:val="right"/>
      <w:pPr>
        <w:ind w:left="4320" w:hanging="180"/>
      </w:pPr>
    </w:lvl>
    <w:lvl w:ilvl="6" w:tplc="9C94472E" w:tentative="1">
      <w:start w:val="1"/>
      <w:numFmt w:val="decimal"/>
      <w:lvlText w:val="%7."/>
      <w:lvlJc w:val="left"/>
      <w:pPr>
        <w:ind w:left="5040" w:hanging="360"/>
      </w:pPr>
    </w:lvl>
    <w:lvl w:ilvl="7" w:tplc="475E33BE" w:tentative="1">
      <w:start w:val="1"/>
      <w:numFmt w:val="lowerLetter"/>
      <w:lvlText w:val="%8."/>
      <w:lvlJc w:val="left"/>
      <w:pPr>
        <w:ind w:left="5760" w:hanging="360"/>
      </w:pPr>
    </w:lvl>
    <w:lvl w:ilvl="8" w:tplc="8A009340"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0E58C940">
      <w:start w:val="1"/>
      <w:numFmt w:val="bullet"/>
      <w:lvlText w:val=""/>
      <w:lvlJc w:val="left"/>
      <w:pPr>
        <w:ind w:left="720" w:hanging="360"/>
      </w:pPr>
      <w:rPr>
        <w:rFonts w:ascii="Symbol" w:hAnsi="Symbol" w:hint="default"/>
      </w:rPr>
    </w:lvl>
    <w:lvl w:ilvl="1" w:tplc="1D42E1FC" w:tentative="1">
      <w:start w:val="1"/>
      <w:numFmt w:val="bullet"/>
      <w:lvlText w:val="o"/>
      <w:lvlJc w:val="left"/>
      <w:pPr>
        <w:ind w:left="1440" w:hanging="360"/>
      </w:pPr>
      <w:rPr>
        <w:rFonts w:ascii="Courier New" w:hAnsi="Courier New" w:cs="Courier New" w:hint="default"/>
      </w:rPr>
    </w:lvl>
    <w:lvl w:ilvl="2" w:tplc="01CC6EB4" w:tentative="1">
      <w:start w:val="1"/>
      <w:numFmt w:val="bullet"/>
      <w:lvlText w:val=""/>
      <w:lvlJc w:val="left"/>
      <w:pPr>
        <w:ind w:left="2160" w:hanging="360"/>
      </w:pPr>
      <w:rPr>
        <w:rFonts w:ascii="Wingdings" w:hAnsi="Wingdings" w:hint="default"/>
      </w:rPr>
    </w:lvl>
    <w:lvl w:ilvl="3" w:tplc="711A7344" w:tentative="1">
      <w:start w:val="1"/>
      <w:numFmt w:val="bullet"/>
      <w:lvlText w:val=""/>
      <w:lvlJc w:val="left"/>
      <w:pPr>
        <w:ind w:left="2880" w:hanging="360"/>
      </w:pPr>
      <w:rPr>
        <w:rFonts w:ascii="Symbol" w:hAnsi="Symbol" w:hint="default"/>
      </w:rPr>
    </w:lvl>
    <w:lvl w:ilvl="4" w:tplc="74508F5A" w:tentative="1">
      <w:start w:val="1"/>
      <w:numFmt w:val="bullet"/>
      <w:lvlText w:val="o"/>
      <w:lvlJc w:val="left"/>
      <w:pPr>
        <w:ind w:left="3600" w:hanging="360"/>
      </w:pPr>
      <w:rPr>
        <w:rFonts w:ascii="Courier New" w:hAnsi="Courier New" w:cs="Courier New" w:hint="default"/>
      </w:rPr>
    </w:lvl>
    <w:lvl w:ilvl="5" w:tplc="18304A36" w:tentative="1">
      <w:start w:val="1"/>
      <w:numFmt w:val="bullet"/>
      <w:lvlText w:val=""/>
      <w:lvlJc w:val="left"/>
      <w:pPr>
        <w:ind w:left="4320" w:hanging="360"/>
      </w:pPr>
      <w:rPr>
        <w:rFonts w:ascii="Wingdings" w:hAnsi="Wingdings" w:hint="default"/>
      </w:rPr>
    </w:lvl>
    <w:lvl w:ilvl="6" w:tplc="60029D86" w:tentative="1">
      <w:start w:val="1"/>
      <w:numFmt w:val="bullet"/>
      <w:lvlText w:val=""/>
      <w:lvlJc w:val="left"/>
      <w:pPr>
        <w:ind w:left="5040" w:hanging="360"/>
      </w:pPr>
      <w:rPr>
        <w:rFonts w:ascii="Symbol" w:hAnsi="Symbol" w:hint="default"/>
      </w:rPr>
    </w:lvl>
    <w:lvl w:ilvl="7" w:tplc="86D2CA9C" w:tentative="1">
      <w:start w:val="1"/>
      <w:numFmt w:val="bullet"/>
      <w:lvlText w:val="o"/>
      <w:lvlJc w:val="left"/>
      <w:pPr>
        <w:ind w:left="5760" w:hanging="360"/>
      </w:pPr>
      <w:rPr>
        <w:rFonts w:ascii="Courier New" w:hAnsi="Courier New" w:cs="Courier New" w:hint="default"/>
      </w:rPr>
    </w:lvl>
    <w:lvl w:ilvl="8" w:tplc="7BA4E8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66184"/>
    <w:rsid w:val="00084D73"/>
    <w:rsid w:val="0009194D"/>
    <w:rsid w:val="00094B98"/>
    <w:rsid w:val="000A47E9"/>
    <w:rsid w:val="000A70BB"/>
    <w:rsid w:val="000D1996"/>
    <w:rsid w:val="000D441F"/>
    <w:rsid w:val="000D62C9"/>
    <w:rsid w:val="000E626C"/>
    <w:rsid w:val="00100FC1"/>
    <w:rsid w:val="001315D0"/>
    <w:rsid w:val="00144FC0"/>
    <w:rsid w:val="00182EF2"/>
    <w:rsid w:val="00183A40"/>
    <w:rsid w:val="0018405B"/>
    <w:rsid w:val="00185D89"/>
    <w:rsid w:val="00195226"/>
    <w:rsid w:val="001D101A"/>
    <w:rsid w:val="001D3C54"/>
    <w:rsid w:val="00202F6D"/>
    <w:rsid w:val="00207EB8"/>
    <w:rsid w:val="002413DC"/>
    <w:rsid w:val="00241E42"/>
    <w:rsid w:val="00264CFA"/>
    <w:rsid w:val="002B5741"/>
    <w:rsid w:val="002B7A9C"/>
    <w:rsid w:val="002C1844"/>
    <w:rsid w:val="002C18C7"/>
    <w:rsid w:val="0034091D"/>
    <w:rsid w:val="00340D38"/>
    <w:rsid w:val="003521D5"/>
    <w:rsid w:val="00372F1F"/>
    <w:rsid w:val="00373875"/>
    <w:rsid w:val="00386578"/>
    <w:rsid w:val="003A32E8"/>
    <w:rsid w:val="003A7F54"/>
    <w:rsid w:val="003B07F8"/>
    <w:rsid w:val="003D478E"/>
    <w:rsid w:val="003E2B4D"/>
    <w:rsid w:val="00405BCA"/>
    <w:rsid w:val="0041456F"/>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F5580"/>
    <w:rsid w:val="005F6FD3"/>
    <w:rsid w:val="00601EA7"/>
    <w:rsid w:val="00602AED"/>
    <w:rsid w:val="00611EE3"/>
    <w:rsid w:val="0063297A"/>
    <w:rsid w:val="00665C48"/>
    <w:rsid w:val="00670486"/>
    <w:rsid w:val="00674C9F"/>
    <w:rsid w:val="00691A3E"/>
    <w:rsid w:val="006A129E"/>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A0985"/>
    <w:rsid w:val="008E014E"/>
    <w:rsid w:val="008F4013"/>
    <w:rsid w:val="008F592F"/>
    <w:rsid w:val="0090333F"/>
    <w:rsid w:val="00924D5D"/>
    <w:rsid w:val="00930299"/>
    <w:rsid w:val="009411A5"/>
    <w:rsid w:val="00993757"/>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812FE"/>
    <w:rsid w:val="00CB4469"/>
    <w:rsid w:val="00CD5493"/>
    <w:rsid w:val="00D03CC1"/>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4048B"/>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F664"/>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Arial Narrow" w:eastAsia="Times New Roman" w:hAnsi="Arial Narrow" w:cs="Times New Roman"/>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Arial Narrow" w:eastAsia="Times New Roman" w:hAnsi="Arial Narrow" w:cs="Times New Roman"/>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1D"/>
    <w:rPr>
      <w:rFonts w:ascii="Segoe UI" w:hAnsi="Segoe UI" w:cs="Segoe UI"/>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Patrick Kahler</dc:creator>
  <cp:lastModifiedBy>Katie Fusco</cp:lastModifiedBy>
  <cp:revision>2</cp:revision>
  <cp:lastPrinted>2019-03-27T15:21:00Z</cp:lastPrinted>
  <dcterms:created xsi:type="dcterms:W3CDTF">2021-08-11T20:58:00Z</dcterms:created>
  <dcterms:modified xsi:type="dcterms:W3CDTF">2021-08-11T20:58:00Z</dcterms:modified>
</cp:coreProperties>
</file>